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26D2A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272ED">
        <w:rPr>
          <w:rFonts w:ascii="Verdana" w:hAnsi="Verdana"/>
          <w:sz w:val="18"/>
          <w:szCs w:val="18"/>
        </w:rPr>
        <w:t>„Výměna pražců a kolejnic v úseku Č. Krumlov – Zlatá Koruna“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62F6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72ED">
        <w:rPr>
          <w:rFonts w:ascii="Verdana" w:hAnsi="Verdana"/>
          <w:sz w:val="18"/>
          <w:szCs w:val="18"/>
        </w:rPr>
      </w:r>
      <w:r w:rsidR="00B272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272ED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B272E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EE1D6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72ED">
        <w:rPr>
          <w:rFonts w:ascii="Verdana" w:hAnsi="Verdana"/>
          <w:sz w:val="18"/>
          <w:szCs w:val="18"/>
        </w:rPr>
      </w:r>
      <w:r w:rsidR="00B272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272ED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B272ED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3F81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272E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272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72ED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0539C7-E1F6-42CD-8142-46F53D73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2020-01-31T12:43:00Z</dcterms:created>
  <dcterms:modified xsi:type="dcterms:W3CDTF">2020-03-10T10:48:00Z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